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223DF" w14:textId="65102EB9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#10</w:t>
      </w:r>
      <w:r w:rsidR="0033400B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33400B">
        <w:rPr>
          <w:bCs/>
          <w:noProof w:val="0"/>
          <w:sz w:val="24"/>
          <w:szCs w:val="24"/>
        </w:rPr>
        <w:t>20</w:t>
      </w:r>
      <w:r w:rsidR="008F0820">
        <w:rPr>
          <w:bCs/>
          <w:noProof w:val="0"/>
          <w:sz w:val="24"/>
          <w:szCs w:val="24"/>
        </w:rPr>
        <w:t>4981</w:t>
      </w:r>
    </w:p>
    <w:p w14:paraId="6C16DFAD" w14:textId="2F229EAB" w:rsidR="00CD4C7B" w:rsidRPr="00B83C7E" w:rsidRDefault="008F082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r>
        <w:rPr>
          <w:rFonts w:cs="Arial"/>
          <w:sz w:val="24"/>
          <w:szCs w:val="24"/>
          <w:lang w:val="nb-NO"/>
        </w:rPr>
        <w:t>E-meeting, 17-28 Aug 2020</w:t>
      </w:r>
    </w:p>
    <w:p w14:paraId="448FDC7E" w14:textId="77777777" w:rsidR="00CD4C7B" w:rsidRPr="00B83C7E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14:paraId="5E0AB64C" w14:textId="77777777" w:rsidR="00CD4C7B" w:rsidRPr="00B83C7E" w:rsidRDefault="00CD4C7B" w:rsidP="00CD4C7B">
      <w:pPr>
        <w:pStyle w:val="Header"/>
        <w:rPr>
          <w:bCs/>
          <w:noProof w:val="0"/>
          <w:sz w:val="24"/>
          <w:lang w:val="de-DE"/>
        </w:rPr>
      </w:pPr>
    </w:p>
    <w:p w14:paraId="5C006A5C" w14:textId="700F3E21" w:rsidR="00CD4C7B" w:rsidRPr="00B83C7E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de-DE" w:eastAsia="ja-JP"/>
        </w:rPr>
      </w:pPr>
      <w:r w:rsidRPr="00B83C7E">
        <w:rPr>
          <w:rFonts w:cs="Arial"/>
          <w:b/>
          <w:bCs/>
          <w:sz w:val="24"/>
          <w:lang w:val="de-DE"/>
        </w:rPr>
        <w:t>Agenda item:</w:t>
      </w:r>
      <w:r w:rsidRPr="00B83C7E">
        <w:rPr>
          <w:rFonts w:cs="Arial"/>
          <w:b/>
          <w:bCs/>
          <w:sz w:val="24"/>
          <w:lang w:val="de-DE"/>
        </w:rPr>
        <w:tab/>
      </w:r>
      <w:r w:rsidR="008F0820">
        <w:rPr>
          <w:rFonts w:cs="Arial"/>
          <w:b/>
          <w:bCs/>
          <w:sz w:val="24"/>
          <w:lang w:val="de-DE" w:eastAsia="ja-JP"/>
        </w:rPr>
        <w:t>10.2.1.5</w:t>
      </w:r>
    </w:p>
    <w:p w14:paraId="16FD22B7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0829916A" w14:textId="2F6DC47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50C1D" w:rsidRPr="00A50C1D">
        <w:rPr>
          <w:rFonts w:ascii="Arial" w:hAnsi="Arial" w:cs="Arial"/>
          <w:b/>
          <w:bCs/>
          <w:sz w:val="24"/>
        </w:rPr>
        <w:t>Load metric based on PRB occupancy</w:t>
      </w:r>
    </w:p>
    <w:p w14:paraId="3DBC3532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851A703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F8114D9" w14:textId="53E8AA62" w:rsidR="00F43009" w:rsidRPr="00ED4B37" w:rsidRDefault="0033400B" w:rsidP="00CD4C7B">
      <w:r>
        <w:t xml:space="preserve">In Rel-16 </w:t>
      </w:r>
      <w:r w:rsidR="00F43009" w:rsidRPr="00ED4B37">
        <w:t>RAN</w:t>
      </w:r>
      <w:r w:rsidR="00B83C7E">
        <w:t>2 and RAN</w:t>
      </w:r>
      <w:r w:rsidR="00F43009" w:rsidRPr="00ED4B37">
        <w:t>3</w:t>
      </w:r>
      <w:r w:rsidR="00B83C7E">
        <w:t xml:space="preserve"> </w:t>
      </w:r>
      <w:r w:rsidR="00F43009" w:rsidRPr="00ED4B37">
        <w:t xml:space="preserve">made agreements on the mechanism for load reporting to be used on X2 (for EN-DC), Xn, E1 and F1 interfaces. </w:t>
      </w:r>
      <w:r w:rsidR="00DD787F">
        <w:t>Part of this mechanism is the resource status reporting.</w:t>
      </w:r>
    </w:p>
    <w:p w14:paraId="4609C54A" w14:textId="27570B83" w:rsidR="00BE2D4A" w:rsidRDefault="00ED4B37" w:rsidP="00CD4C7B">
      <w:r>
        <w:t xml:space="preserve">In this document, we point out some specific NR Radio </w:t>
      </w:r>
      <w:r w:rsidR="00577854">
        <w:t>properties that have an impact on Load Reporting.</w:t>
      </w:r>
    </w:p>
    <w:p w14:paraId="7FE2767B" w14:textId="1E5A3CE6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C57948">
        <w:t>Radio</w:t>
      </w:r>
      <w:r w:rsidR="0062629D">
        <w:t xml:space="preserve"> Load information</w:t>
      </w:r>
      <w:r w:rsidR="00B83C7E">
        <w:t xml:space="preserve"> in different BWP</w:t>
      </w:r>
    </w:p>
    <w:p w14:paraId="2F2D30D9" w14:textId="2E93B00B" w:rsidR="00577854" w:rsidRDefault="00577854" w:rsidP="00DD787F">
      <w:r>
        <w:t>For PRB usage report and for CAC</w:t>
      </w:r>
      <w:r w:rsidR="004C2A74">
        <w:t xml:space="preserve"> report</w:t>
      </w:r>
      <w:r>
        <w:t xml:space="preserve">, it has been </w:t>
      </w:r>
      <w:r w:rsidR="008938F7">
        <w:t xml:space="preserve">agreed </w:t>
      </w:r>
      <w:r>
        <w:t xml:space="preserve">to have a report per Beam (or per SSB). We describe below some points to </w:t>
      </w:r>
      <w:r w:rsidR="007027E0">
        <w:t>consider</w:t>
      </w:r>
      <w:r>
        <w:t>.</w:t>
      </w:r>
    </w:p>
    <w:p w14:paraId="005A9834" w14:textId="328ACF02" w:rsidR="0093122D" w:rsidRDefault="0093122D" w:rsidP="00DD787F">
      <w:r>
        <w:t xml:space="preserve">In NR, </w:t>
      </w:r>
      <w:r w:rsidR="005F6AA6">
        <w:t>i</w:t>
      </w:r>
      <w:r w:rsidR="0080129C">
        <w:t>t</w:t>
      </w:r>
      <w:r w:rsidR="005F6AA6">
        <w:t xml:space="preserve"> i</w:t>
      </w:r>
      <w:r w:rsidR="0080129C">
        <w:t>s</w:t>
      </w:r>
      <w:r w:rsidR="005F6AA6">
        <w:t xml:space="preserve"> possible to </w:t>
      </w:r>
      <w:r w:rsidR="00067243">
        <w:t xml:space="preserve">use </w:t>
      </w:r>
      <w:r w:rsidR="00146A3D">
        <w:t xml:space="preserve">several </w:t>
      </w:r>
      <w:r>
        <w:t>BWP</w:t>
      </w:r>
      <w:r w:rsidR="00146A3D">
        <w:t>s</w:t>
      </w:r>
      <w:r>
        <w:t xml:space="preserve"> (</w:t>
      </w:r>
      <w:r w:rsidR="00E87313" w:rsidRPr="00E87313">
        <w:t>Bandwidth Adaptation</w:t>
      </w:r>
      <w:r>
        <w:t>)</w:t>
      </w:r>
      <w:r w:rsidR="00067243">
        <w:t xml:space="preserve"> within a Cell. </w:t>
      </w:r>
      <w:r w:rsidR="00E87313" w:rsidRPr="00E87313">
        <w:t>Bandwidth Adaptation</w:t>
      </w:r>
      <w:r w:rsidR="00E87313">
        <w:t xml:space="preserve"> is described in </w:t>
      </w:r>
      <w:r w:rsidR="00067243">
        <w:t xml:space="preserve"> </w:t>
      </w:r>
      <w:hyperlink r:id="rId13" w:history="1">
        <w:r w:rsidR="00067243" w:rsidRPr="008938F7">
          <w:rPr>
            <w:rStyle w:val="Hyperlink"/>
          </w:rPr>
          <w:t>38.300</w:t>
        </w:r>
      </w:hyperlink>
      <w:r w:rsidR="00067243">
        <w:t xml:space="preserve"> section </w:t>
      </w:r>
      <w:r w:rsidR="00E87313">
        <w:t xml:space="preserve">6.10. The figure below shows an example of </w:t>
      </w:r>
      <w:r w:rsidR="00B06B0B">
        <w:t xml:space="preserve">BWP configuration in a cell, for </w:t>
      </w:r>
      <w:r w:rsidR="00E87313">
        <w:t xml:space="preserve">Bandwidth </w:t>
      </w:r>
      <w:r w:rsidR="00877D65">
        <w:t>A</w:t>
      </w:r>
      <w:r w:rsidR="00E87313">
        <w:t>daptation.</w:t>
      </w:r>
    </w:p>
    <w:p w14:paraId="40C7BFEF" w14:textId="1DE8FBF6" w:rsidR="007C7023" w:rsidRPr="002E50A6" w:rsidRDefault="00877D65" w:rsidP="00DD787F">
      <w:pPr>
        <w:jc w:val="center"/>
      </w:pPr>
      <w:r w:rsidRPr="00653C72">
        <w:rPr>
          <w:noProof/>
        </w:rPr>
        <w:object w:dxaOrig="4081" w:dyaOrig="4216" w14:anchorId="2ED823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2.8pt;height:211.2pt" o:ole="">
            <v:imagedata r:id="rId14" o:title=""/>
          </v:shape>
          <o:OLEObject Type="Embed" ProgID="Visio.Drawing.11" ShapeID="_x0000_i1025" DrawAspect="Content" ObjectID="_1658242426" r:id="rId15"/>
        </w:object>
      </w:r>
    </w:p>
    <w:p w14:paraId="4A1AFBD4" w14:textId="7D1A6414" w:rsidR="007C7023" w:rsidRPr="002E50A6" w:rsidRDefault="007C7023" w:rsidP="00DD787F">
      <w:pPr>
        <w:jc w:val="center"/>
      </w:pPr>
      <w:r w:rsidRPr="002E50A6">
        <w:t xml:space="preserve">Figure </w:t>
      </w:r>
      <w:r>
        <w:t>1</w:t>
      </w:r>
      <w:r w:rsidRPr="002E50A6">
        <w:t xml:space="preserve">: Example of </w:t>
      </w:r>
      <w:r w:rsidR="00B06B0B">
        <w:t>BWPs in a Cell</w:t>
      </w:r>
    </w:p>
    <w:p w14:paraId="61FC084C" w14:textId="5DF47111" w:rsidR="00B06B0B" w:rsidRPr="00B06B0B" w:rsidRDefault="00B06B0B" w:rsidP="00DD787F">
      <w:r>
        <w:t>T</w:t>
      </w:r>
      <w:r w:rsidR="007D07ED" w:rsidRPr="007D07ED">
        <w:t xml:space="preserve">he figure </w:t>
      </w:r>
      <w:r w:rsidR="00C50BCF">
        <w:t>2</w:t>
      </w:r>
      <w:r w:rsidR="007D07ED" w:rsidRPr="007D07ED">
        <w:t xml:space="preserve"> above illustrate</w:t>
      </w:r>
      <w:r w:rsidR="00146A3D">
        <w:t>s</w:t>
      </w:r>
      <w:r w:rsidR="007D07ED" w:rsidRPr="007D07ED">
        <w:t xml:space="preserve"> the case of different</w:t>
      </w:r>
      <w:r>
        <w:t xml:space="preserve"> BWPs configured in a cell. BWP</w:t>
      </w:r>
      <w:r>
        <w:rPr>
          <w:vertAlign w:val="subscript"/>
        </w:rPr>
        <w:t>0</w:t>
      </w:r>
      <w:r>
        <w:t xml:space="preserve"> is the initial BWP</w:t>
      </w:r>
      <w:r w:rsidR="00877D65">
        <w:t>.</w:t>
      </w:r>
      <w:r>
        <w:t xml:space="preserve"> BWP</w:t>
      </w:r>
      <w:r>
        <w:rPr>
          <w:vertAlign w:val="subscript"/>
        </w:rPr>
        <w:t>1</w:t>
      </w:r>
      <w:r>
        <w:t xml:space="preserve"> </w:t>
      </w:r>
      <w:r w:rsidR="00877D65">
        <w:t>and BWP</w:t>
      </w:r>
      <w:r w:rsidR="00877D65">
        <w:rPr>
          <w:vertAlign w:val="subscript"/>
        </w:rPr>
        <w:t xml:space="preserve">2 </w:t>
      </w:r>
      <w:r w:rsidR="00877D65">
        <w:t>are</w:t>
      </w:r>
      <w:r>
        <w:t xml:space="preserve"> a BWP used for heav</w:t>
      </w:r>
      <w:r w:rsidR="00877D65">
        <w:t>ier</w:t>
      </w:r>
      <w:r>
        <w:t xml:space="preserve"> traffic usage. The BWP</w:t>
      </w:r>
      <w:r w:rsidR="00877D65">
        <w:t>s</w:t>
      </w:r>
      <w:r>
        <w:t xml:space="preserve"> belong to the same cell and are </w:t>
      </w:r>
      <w:r w:rsidR="00877D65">
        <w:t xml:space="preserve">located within </w:t>
      </w:r>
      <w:r>
        <w:t xml:space="preserve">the </w:t>
      </w:r>
      <w:r w:rsidR="00877D65">
        <w:t xml:space="preserve">total </w:t>
      </w:r>
      <w:r>
        <w:t xml:space="preserve">cell </w:t>
      </w:r>
      <w:r w:rsidR="00877D65">
        <w:t>bandwidth</w:t>
      </w:r>
      <w:r>
        <w:t>.</w:t>
      </w:r>
    </w:p>
    <w:p w14:paraId="36ACDB68" w14:textId="05D127C3" w:rsidR="00B06B0B" w:rsidRDefault="00B06B0B" w:rsidP="00DD787F">
      <w:r>
        <w:t>Note that the BWP are overlapping which is considered as the most probable use of BWP in NR. As a consequence, both BWP can use the CD-SS</w:t>
      </w:r>
      <w:r w:rsidR="00877D65">
        <w:t>B</w:t>
      </w:r>
      <w:r>
        <w:t xml:space="preserve"> from the initial BWP for beam forming.</w:t>
      </w:r>
      <w:r w:rsidR="00DD787F">
        <w:t xml:space="preserve"> </w:t>
      </w:r>
      <w:r w:rsidR="00877D65">
        <w:t>However, i</w:t>
      </w:r>
      <w:r>
        <w:t xml:space="preserve">n current specifications, it is </w:t>
      </w:r>
      <w:r w:rsidR="009E2C3D">
        <w:t>only possible to report the load of the whole cell.</w:t>
      </w:r>
    </w:p>
    <w:p w14:paraId="43EF0841" w14:textId="457E5ED1" w:rsidR="00DD787F" w:rsidRDefault="00DD787F" w:rsidP="00DD787F">
      <w:r>
        <w:t xml:space="preserve">On the other hand, a UE may not be able to use all the available BWPs. Therefore, </w:t>
      </w:r>
      <w:r w:rsidR="00A846E5">
        <w:t xml:space="preserve">a DU may manifest sufficient resources to support a UE, but it is still unsure if the UE may use the BWP where the resources are available. </w:t>
      </w:r>
    </w:p>
    <w:p w14:paraId="1473448F" w14:textId="7EF4F855" w:rsidR="009E2C3D" w:rsidRDefault="009E2C3D" w:rsidP="00DD787F">
      <w:pPr>
        <w:rPr>
          <w:b/>
          <w:bCs/>
        </w:rPr>
      </w:pPr>
      <w:r w:rsidRPr="009E2C3D">
        <w:rPr>
          <w:b/>
          <w:bCs/>
        </w:rPr>
        <w:lastRenderedPageBreak/>
        <w:t xml:space="preserve">Observation 1: </w:t>
      </w:r>
      <w:r w:rsidR="00A846E5">
        <w:rPr>
          <w:b/>
          <w:bCs/>
        </w:rPr>
        <w:t>The current resource reporting mechanism still has gaps that may result in rejections of UE Context Setup in a DU.</w:t>
      </w:r>
    </w:p>
    <w:p w14:paraId="4156A26E" w14:textId="26F65850" w:rsidR="009E2C3D" w:rsidRPr="009E2C3D" w:rsidRDefault="00A846E5" w:rsidP="00DD787F">
      <w:r>
        <w:t>Resource reporting per SSB, as already available, or per slice, as proposed for Rel.17 [1], does yet solve the problem – the only option is to enable reporting per BWP, too. This may be particularly relevant if BWPs are linked with specific services.</w:t>
      </w:r>
    </w:p>
    <w:p w14:paraId="4C95AB57" w14:textId="1D09FDFB" w:rsidR="009078A6" w:rsidRPr="009E2C3D" w:rsidRDefault="006858CA" w:rsidP="00DD787F">
      <w:pPr>
        <w:rPr>
          <w:b/>
          <w:bCs/>
        </w:rPr>
      </w:pPr>
      <w:r w:rsidRPr="009E2C3D">
        <w:rPr>
          <w:b/>
          <w:bCs/>
        </w:rPr>
        <w:t>Proposal</w:t>
      </w:r>
      <w:r w:rsidR="00C7635B" w:rsidRPr="009E2C3D">
        <w:rPr>
          <w:b/>
          <w:bCs/>
        </w:rPr>
        <w:t xml:space="preserve"> 1</w:t>
      </w:r>
      <w:r w:rsidRPr="009E2C3D">
        <w:rPr>
          <w:b/>
          <w:bCs/>
        </w:rPr>
        <w:t xml:space="preserve">: </w:t>
      </w:r>
      <w:r w:rsidR="0058484C" w:rsidRPr="009E2C3D">
        <w:rPr>
          <w:b/>
          <w:bCs/>
        </w:rPr>
        <w:t xml:space="preserve">It should be possible to indicate the load of the different BWP </w:t>
      </w:r>
      <w:r w:rsidR="009E2C3D" w:rsidRPr="009E2C3D">
        <w:rPr>
          <w:b/>
          <w:bCs/>
        </w:rPr>
        <w:t>independently</w:t>
      </w:r>
      <w:r w:rsidR="008402AB">
        <w:rPr>
          <w:b/>
          <w:bCs/>
        </w:rPr>
        <w:t xml:space="preserve"> (at least on F1)</w:t>
      </w:r>
      <w:r w:rsidR="0058484C" w:rsidRPr="009E2C3D">
        <w:rPr>
          <w:b/>
          <w:bCs/>
        </w:rPr>
        <w:t>.</w:t>
      </w:r>
    </w:p>
    <w:p w14:paraId="63941A38" w14:textId="35D9BB7F" w:rsidR="00CD4C7B" w:rsidRPr="006E13D1" w:rsidRDefault="00C57948" w:rsidP="00CD4C7B">
      <w:pPr>
        <w:pStyle w:val="Heading1"/>
      </w:pPr>
      <w:r>
        <w:t>3</w:t>
      </w:r>
      <w:r w:rsidR="00CD4C7B" w:rsidRPr="006E13D1">
        <w:tab/>
      </w:r>
      <w:r w:rsidR="00972FD7">
        <w:t>Conclusion</w:t>
      </w:r>
    </w:p>
    <w:p w14:paraId="43BEBF19" w14:textId="39C30E9C" w:rsidR="00CD4C7B" w:rsidRDefault="0071469F" w:rsidP="00CD4C7B">
      <w:r>
        <w:t>In this document, w</w:t>
      </w:r>
      <w:r w:rsidR="00DF6E20">
        <w:t xml:space="preserve">e have made the following </w:t>
      </w:r>
      <w:r w:rsidR="00096ED6">
        <w:t xml:space="preserve">observations and </w:t>
      </w:r>
      <w:r w:rsidR="00DF6E20">
        <w:t>proposals:</w:t>
      </w:r>
    </w:p>
    <w:p w14:paraId="00588305" w14:textId="7309D485" w:rsidR="009E2C3D" w:rsidRDefault="009E2C3D" w:rsidP="009E2C3D">
      <w:pPr>
        <w:rPr>
          <w:b/>
          <w:bCs/>
        </w:rPr>
      </w:pPr>
      <w:r w:rsidRPr="009E2C3D">
        <w:rPr>
          <w:b/>
          <w:bCs/>
        </w:rPr>
        <w:t xml:space="preserve">Observation 1: </w:t>
      </w:r>
      <w:r w:rsidR="00A846E5">
        <w:rPr>
          <w:b/>
          <w:bCs/>
        </w:rPr>
        <w:t>The current resource reporting mechanism still has gaps that may result in rejections of UE Context Setup in a DU.</w:t>
      </w:r>
    </w:p>
    <w:p w14:paraId="17FB71D3" w14:textId="41B03A01" w:rsidR="45D62E3C" w:rsidRPr="00153EE1" w:rsidRDefault="009E2C3D">
      <w:pPr>
        <w:rPr>
          <w:b/>
          <w:bCs/>
        </w:rPr>
      </w:pPr>
      <w:r w:rsidRPr="009E2C3D">
        <w:rPr>
          <w:b/>
          <w:bCs/>
        </w:rPr>
        <w:t xml:space="preserve">Proposal 1: </w:t>
      </w:r>
      <w:r w:rsidR="00A846E5" w:rsidRPr="009E2C3D">
        <w:rPr>
          <w:b/>
          <w:bCs/>
        </w:rPr>
        <w:t>It should be possible to indicate the load of the different BWP independently</w:t>
      </w:r>
      <w:r w:rsidR="008402AB">
        <w:rPr>
          <w:b/>
          <w:bCs/>
        </w:rPr>
        <w:t xml:space="preserve"> (at least on F1)</w:t>
      </w:r>
      <w:r w:rsidR="00A846E5" w:rsidRPr="009E2C3D">
        <w:rPr>
          <w:b/>
          <w:bCs/>
        </w:rPr>
        <w:t>.</w:t>
      </w:r>
    </w:p>
    <w:p w14:paraId="215702BE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210F32A" w14:textId="77A9CDCC" w:rsidR="00520A45" w:rsidRDefault="00AF78D5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" w:name="_Ref75086397"/>
      <w:r>
        <w:t>[</w:t>
      </w:r>
      <w:r w:rsidR="00E83F16">
        <w:t>1</w:t>
      </w:r>
      <w:r>
        <w:t>]</w:t>
      </w:r>
      <w:r>
        <w:tab/>
      </w:r>
      <w:bookmarkEnd w:id="1"/>
      <w:r w:rsidR="00A846E5">
        <w:t>R3-20</w:t>
      </w:r>
      <w:r w:rsidR="008F0820">
        <w:t>4982</w:t>
      </w:r>
      <w:bookmarkStart w:id="2" w:name="_GoBack"/>
      <w:bookmarkEnd w:id="2"/>
      <w:r w:rsidR="00A846E5">
        <w:t>, RAN3 #109-e</w:t>
      </w:r>
    </w:p>
    <w:p w14:paraId="310497EE" w14:textId="1B1B7D75" w:rsidR="00504777" w:rsidRDefault="00504777" w:rsidP="00504777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504777" w:rsidSect="002B7B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280D5" w14:textId="77777777" w:rsidR="00FD3B80" w:rsidRDefault="00FD3B80">
      <w:r>
        <w:separator/>
      </w:r>
    </w:p>
  </w:endnote>
  <w:endnote w:type="continuationSeparator" w:id="0">
    <w:p w14:paraId="684AEDED" w14:textId="77777777" w:rsidR="00FD3B80" w:rsidRDefault="00FD3B80">
      <w:r>
        <w:continuationSeparator/>
      </w:r>
    </w:p>
  </w:endnote>
  <w:endnote w:type="continuationNotice" w:id="1">
    <w:p w14:paraId="31381D08" w14:textId="77777777" w:rsidR="00FD3B80" w:rsidRDefault="00FD3B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3E290" w14:textId="77777777" w:rsidR="00FD3B80" w:rsidRDefault="00FD3B80">
      <w:r>
        <w:separator/>
      </w:r>
    </w:p>
  </w:footnote>
  <w:footnote w:type="continuationSeparator" w:id="0">
    <w:p w14:paraId="576A4F1B" w14:textId="77777777" w:rsidR="00FD3B80" w:rsidRDefault="00FD3B80">
      <w:r>
        <w:continuationSeparator/>
      </w:r>
    </w:p>
  </w:footnote>
  <w:footnote w:type="continuationNotice" w:id="1">
    <w:p w14:paraId="054804FE" w14:textId="77777777" w:rsidR="00FD3B80" w:rsidRDefault="00FD3B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1416459"/>
    <w:multiLevelType w:val="hybridMultilevel"/>
    <w:tmpl w:val="EF40F9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106ED"/>
    <w:rsid w:val="00027486"/>
    <w:rsid w:val="00033397"/>
    <w:rsid w:val="000342C7"/>
    <w:rsid w:val="00040095"/>
    <w:rsid w:val="00050C5C"/>
    <w:rsid w:val="0005563E"/>
    <w:rsid w:val="00067243"/>
    <w:rsid w:val="00080512"/>
    <w:rsid w:val="000811F6"/>
    <w:rsid w:val="00083F0D"/>
    <w:rsid w:val="00096ED6"/>
    <w:rsid w:val="000B1E7F"/>
    <w:rsid w:val="000B7BCF"/>
    <w:rsid w:val="000C51FF"/>
    <w:rsid w:val="000C556D"/>
    <w:rsid w:val="000D185C"/>
    <w:rsid w:val="000D376D"/>
    <w:rsid w:val="000D58AB"/>
    <w:rsid w:val="000E0086"/>
    <w:rsid w:val="000E0AEE"/>
    <w:rsid w:val="000E424F"/>
    <w:rsid w:val="00100F07"/>
    <w:rsid w:val="001067A1"/>
    <w:rsid w:val="001075B7"/>
    <w:rsid w:val="0010784E"/>
    <w:rsid w:val="001370F2"/>
    <w:rsid w:val="00146A3D"/>
    <w:rsid w:val="00153EE1"/>
    <w:rsid w:val="001549DD"/>
    <w:rsid w:val="00166BCC"/>
    <w:rsid w:val="001804A6"/>
    <w:rsid w:val="00183F18"/>
    <w:rsid w:val="00186136"/>
    <w:rsid w:val="00194CD0"/>
    <w:rsid w:val="001B08B3"/>
    <w:rsid w:val="001C4281"/>
    <w:rsid w:val="001D0D3F"/>
    <w:rsid w:val="001D1698"/>
    <w:rsid w:val="001F168B"/>
    <w:rsid w:val="001F3BA2"/>
    <w:rsid w:val="001F70B7"/>
    <w:rsid w:val="00202BF7"/>
    <w:rsid w:val="0022606D"/>
    <w:rsid w:val="002305DD"/>
    <w:rsid w:val="00232E36"/>
    <w:rsid w:val="00243BC7"/>
    <w:rsid w:val="00253DCC"/>
    <w:rsid w:val="002623FC"/>
    <w:rsid w:val="002715EC"/>
    <w:rsid w:val="00273A6C"/>
    <w:rsid w:val="00274682"/>
    <w:rsid w:val="002747EC"/>
    <w:rsid w:val="002855BF"/>
    <w:rsid w:val="002A08AF"/>
    <w:rsid w:val="002A6DF8"/>
    <w:rsid w:val="002B2D8D"/>
    <w:rsid w:val="002B631A"/>
    <w:rsid w:val="002B7B67"/>
    <w:rsid w:val="002D14D4"/>
    <w:rsid w:val="002E14FC"/>
    <w:rsid w:val="002E1692"/>
    <w:rsid w:val="002F0D22"/>
    <w:rsid w:val="003172DC"/>
    <w:rsid w:val="00321603"/>
    <w:rsid w:val="00326069"/>
    <w:rsid w:val="00330231"/>
    <w:rsid w:val="00332D57"/>
    <w:rsid w:val="0033400B"/>
    <w:rsid w:val="00335BDD"/>
    <w:rsid w:val="003454FC"/>
    <w:rsid w:val="00347AFF"/>
    <w:rsid w:val="0035462D"/>
    <w:rsid w:val="00356790"/>
    <w:rsid w:val="00363177"/>
    <w:rsid w:val="003B3FB3"/>
    <w:rsid w:val="003C4E37"/>
    <w:rsid w:val="003D6551"/>
    <w:rsid w:val="003D7AC0"/>
    <w:rsid w:val="003E054D"/>
    <w:rsid w:val="003E16BE"/>
    <w:rsid w:val="003E7223"/>
    <w:rsid w:val="003F1304"/>
    <w:rsid w:val="003F4AD2"/>
    <w:rsid w:val="00401855"/>
    <w:rsid w:val="0040461A"/>
    <w:rsid w:val="00435135"/>
    <w:rsid w:val="00440B07"/>
    <w:rsid w:val="0046030F"/>
    <w:rsid w:val="00464695"/>
    <w:rsid w:val="004C2A74"/>
    <w:rsid w:val="004D3578"/>
    <w:rsid w:val="004D380D"/>
    <w:rsid w:val="004D3F58"/>
    <w:rsid w:val="004D5D6A"/>
    <w:rsid w:val="004D5E47"/>
    <w:rsid w:val="004E213A"/>
    <w:rsid w:val="004E21FC"/>
    <w:rsid w:val="004E3C77"/>
    <w:rsid w:val="0050124D"/>
    <w:rsid w:val="00503171"/>
    <w:rsid w:val="00504777"/>
    <w:rsid w:val="00505F22"/>
    <w:rsid w:val="005153FE"/>
    <w:rsid w:val="00520A45"/>
    <w:rsid w:val="005240A4"/>
    <w:rsid w:val="00524A53"/>
    <w:rsid w:val="00534DA0"/>
    <w:rsid w:val="005368F2"/>
    <w:rsid w:val="00543E6C"/>
    <w:rsid w:val="00544635"/>
    <w:rsid w:val="00551B95"/>
    <w:rsid w:val="00551EEE"/>
    <w:rsid w:val="00565087"/>
    <w:rsid w:val="0056573F"/>
    <w:rsid w:val="0057113D"/>
    <w:rsid w:val="00571CE2"/>
    <w:rsid w:val="005741BE"/>
    <w:rsid w:val="00577854"/>
    <w:rsid w:val="0058484C"/>
    <w:rsid w:val="00590F6A"/>
    <w:rsid w:val="0059620A"/>
    <w:rsid w:val="005A4971"/>
    <w:rsid w:val="005B1232"/>
    <w:rsid w:val="005B2EEF"/>
    <w:rsid w:val="005C2A70"/>
    <w:rsid w:val="005D4274"/>
    <w:rsid w:val="005E47BF"/>
    <w:rsid w:val="005F6AA6"/>
    <w:rsid w:val="00601C19"/>
    <w:rsid w:val="00605E3E"/>
    <w:rsid w:val="00606DA9"/>
    <w:rsid w:val="00611566"/>
    <w:rsid w:val="00614038"/>
    <w:rsid w:val="0062629D"/>
    <w:rsid w:val="00656E1E"/>
    <w:rsid w:val="006601D2"/>
    <w:rsid w:val="0066116D"/>
    <w:rsid w:val="00681EF1"/>
    <w:rsid w:val="006858CA"/>
    <w:rsid w:val="006B0BA4"/>
    <w:rsid w:val="006C3505"/>
    <w:rsid w:val="006C54B5"/>
    <w:rsid w:val="006C67A8"/>
    <w:rsid w:val="006D1E24"/>
    <w:rsid w:val="007027E0"/>
    <w:rsid w:val="0071469F"/>
    <w:rsid w:val="00722554"/>
    <w:rsid w:val="00722910"/>
    <w:rsid w:val="00734A5B"/>
    <w:rsid w:val="00737ADC"/>
    <w:rsid w:val="00743525"/>
    <w:rsid w:val="00744E76"/>
    <w:rsid w:val="007476DB"/>
    <w:rsid w:val="00751610"/>
    <w:rsid w:val="00757D40"/>
    <w:rsid w:val="00763E71"/>
    <w:rsid w:val="007744A9"/>
    <w:rsid w:val="00774846"/>
    <w:rsid w:val="00781F0F"/>
    <w:rsid w:val="0078727C"/>
    <w:rsid w:val="007C095F"/>
    <w:rsid w:val="007C27A2"/>
    <w:rsid w:val="007C7023"/>
    <w:rsid w:val="007D07ED"/>
    <w:rsid w:val="007D7C10"/>
    <w:rsid w:val="007E44EA"/>
    <w:rsid w:val="0080129C"/>
    <w:rsid w:val="008028A4"/>
    <w:rsid w:val="00803488"/>
    <w:rsid w:val="00806520"/>
    <w:rsid w:val="00814AD7"/>
    <w:rsid w:val="00835A40"/>
    <w:rsid w:val="008402AB"/>
    <w:rsid w:val="00840916"/>
    <w:rsid w:val="00853EDD"/>
    <w:rsid w:val="008604EE"/>
    <w:rsid w:val="00873C51"/>
    <w:rsid w:val="008768CA"/>
    <w:rsid w:val="00877D65"/>
    <w:rsid w:val="00880559"/>
    <w:rsid w:val="0088684E"/>
    <w:rsid w:val="008938F7"/>
    <w:rsid w:val="008C0A1A"/>
    <w:rsid w:val="008E1F8F"/>
    <w:rsid w:val="008F0820"/>
    <w:rsid w:val="0090271F"/>
    <w:rsid w:val="00903D8C"/>
    <w:rsid w:val="009078A6"/>
    <w:rsid w:val="00923B15"/>
    <w:rsid w:val="00925C8D"/>
    <w:rsid w:val="00927D23"/>
    <w:rsid w:val="0093122D"/>
    <w:rsid w:val="00942EC2"/>
    <w:rsid w:val="00954BCB"/>
    <w:rsid w:val="00961B32"/>
    <w:rsid w:val="00961E73"/>
    <w:rsid w:val="00971683"/>
    <w:rsid w:val="00971D34"/>
    <w:rsid w:val="00972FD7"/>
    <w:rsid w:val="00974BB0"/>
    <w:rsid w:val="00990106"/>
    <w:rsid w:val="009A6B57"/>
    <w:rsid w:val="009A6E4F"/>
    <w:rsid w:val="009B040D"/>
    <w:rsid w:val="009B7B2A"/>
    <w:rsid w:val="009C4D5C"/>
    <w:rsid w:val="009D0A28"/>
    <w:rsid w:val="009E2C3D"/>
    <w:rsid w:val="009E7F38"/>
    <w:rsid w:val="009F3B54"/>
    <w:rsid w:val="009F746F"/>
    <w:rsid w:val="009F7E6E"/>
    <w:rsid w:val="00A10F02"/>
    <w:rsid w:val="00A13890"/>
    <w:rsid w:val="00A50C1D"/>
    <w:rsid w:val="00A53724"/>
    <w:rsid w:val="00A82346"/>
    <w:rsid w:val="00A8361A"/>
    <w:rsid w:val="00A846E5"/>
    <w:rsid w:val="00A94A86"/>
    <w:rsid w:val="00A9671C"/>
    <w:rsid w:val="00AD4BCF"/>
    <w:rsid w:val="00AF360C"/>
    <w:rsid w:val="00AF78D5"/>
    <w:rsid w:val="00B06B0B"/>
    <w:rsid w:val="00B14B34"/>
    <w:rsid w:val="00B15449"/>
    <w:rsid w:val="00B2688F"/>
    <w:rsid w:val="00B31E34"/>
    <w:rsid w:val="00B3595D"/>
    <w:rsid w:val="00B44F2A"/>
    <w:rsid w:val="00B65FFD"/>
    <w:rsid w:val="00B7429A"/>
    <w:rsid w:val="00B83C7E"/>
    <w:rsid w:val="00B9781E"/>
    <w:rsid w:val="00BB10BA"/>
    <w:rsid w:val="00BC58C0"/>
    <w:rsid w:val="00BE2D4A"/>
    <w:rsid w:val="00BF79F1"/>
    <w:rsid w:val="00C03035"/>
    <w:rsid w:val="00C12E02"/>
    <w:rsid w:val="00C17BDA"/>
    <w:rsid w:val="00C26748"/>
    <w:rsid w:val="00C33079"/>
    <w:rsid w:val="00C37020"/>
    <w:rsid w:val="00C43B31"/>
    <w:rsid w:val="00C50BCF"/>
    <w:rsid w:val="00C57948"/>
    <w:rsid w:val="00C7635B"/>
    <w:rsid w:val="00C9203A"/>
    <w:rsid w:val="00CA3D0C"/>
    <w:rsid w:val="00CB6887"/>
    <w:rsid w:val="00CD4C7B"/>
    <w:rsid w:val="00CD6DF9"/>
    <w:rsid w:val="00CD7B1D"/>
    <w:rsid w:val="00D22038"/>
    <w:rsid w:val="00D33ADA"/>
    <w:rsid w:val="00D41DE3"/>
    <w:rsid w:val="00D6215D"/>
    <w:rsid w:val="00D70ACC"/>
    <w:rsid w:val="00D738D6"/>
    <w:rsid w:val="00D80795"/>
    <w:rsid w:val="00D87E00"/>
    <w:rsid w:val="00D9134D"/>
    <w:rsid w:val="00D97CD9"/>
    <w:rsid w:val="00DA1192"/>
    <w:rsid w:val="00DA7A03"/>
    <w:rsid w:val="00DB1818"/>
    <w:rsid w:val="00DC0844"/>
    <w:rsid w:val="00DC309B"/>
    <w:rsid w:val="00DC4DA2"/>
    <w:rsid w:val="00DC71AA"/>
    <w:rsid w:val="00DD787F"/>
    <w:rsid w:val="00DE1406"/>
    <w:rsid w:val="00DE67B1"/>
    <w:rsid w:val="00DE7AEB"/>
    <w:rsid w:val="00DF6E20"/>
    <w:rsid w:val="00E07838"/>
    <w:rsid w:val="00E115D9"/>
    <w:rsid w:val="00E15834"/>
    <w:rsid w:val="00E33010"/>
    <w:rsid w:val="00E340BC"/>
    <w:rsid w:val="00E440DB"/>
    <w:rsid w:val="00E62835"/>
    <w:rsid w:val="00E77645"/>
    <w:rsid w:val="00E83F16"/>
    <w:rsid w:val="00E852FF"/>
    <w:rsid w:val="00E87313"/>
    <w:rsid w:val="00E90ABE"/>
    <w:rsid w:val="00E92B37"/>
    <w:rsid w:val="00E93951"/>
    <w:rsid w:val="00EA22F8"/>
    <w:rsid w:val="00EC4A25"/>
    <w:rsid w:val="00ED4B37"/>
    <w:rsid w:val="00EE0A1E"/>
    <w:rsid w:val="00EE7F44"/>
    <w:rsid w:val="00F01518"/>
    <w:rsid w:val="00F025A2"/>
    <w:rsid w:val="00F2026E"/>
    <w:rsid w:val="00F2210A"/>
    <w:rsid w:val="00F37743"/>
    <w:rsid w:val="00F43009"/>
    <w:rsid w:val="00F531EB"/>
    <w:rsid w:val="00F54A3D"/>
    <w:rsid w:val="00F653B8"/>
    <w:rsid w:val="00F70A88"/>
    <w:rsid w:val="00F76F8F"/>
    <w:rsid w:val="00FA1266"/>
    <w:rsid w:val="00FB2BEA"/>
    <w:rsid w:val="00FC1192"/>
    <w:rsid w:val="00FC2A0E"/>
    <w:rsid w:val="00FD20C5"/>
    <w:rsid w:val="00FD2B2C"/>
    <w:rsid w:val="00FD3B80"/>
    <w:rsid w:val="00FD5C0B"/>
    <w:rsid w:val="00FF4BAA"/>
    <w:rsid w:val="00FF7BCD"/>
    <w:rsid w:val="143C72BA"/>
    <w:rsid w:val="15DBA0F4"/>
    <w:rsid w:val="1B26093D"/>
    <w:rsid w:val="2F42D6FC"/>
    <w:rsid w:val="444D4DC7"/>
    <w:rsid w:val="45D62E3C"/>
    <w:rsid w:val="5A65514D"/>
    <w:rsid w:val="5F453F11"/>
    <w:rsid w:val="66CB3BE0"/>
    <w:rsid w:val="693FE81B"/>
    <w:rsid w:val="6E4983AC"/>
    <w:rsid w:val="6EA7492C"/>
    <w:rsid w:val="7954EB12"/>
    <w:rsid w:val="7FAB8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3DE9D2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2C3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2Char">
    <w:name w:val="Heading 2 Char"/>
    <w:link w:val="Heading2"/>
    <w:rsid w:val="00E93951"/>
    <w:rPr>
      <w:rFonts w:ascii="Arial" w:hAnsi="Arial"/>
      <w:sz w:val="32"/>
      <w:lang w:val="en-GB" w:eastAsia="en-US"/>
    </w:rPr>
  </w:style>
  <w:style w:type="paragraph" w:styleId="BalloonText">
    <w:name w:val="Balloon Text"/>
    <w:basedOn w:val="Normal"/>
    <w:link w:val="BalloonTextChar"/>
    <w:rsid w:val="00F0151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01518"/>
    <w:rPr>
      <w:rFonts w:ascii="Segoe UI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rsid w:val="008034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03488"/>
  </w:style>
  <w:style w:type="character" w:customStyle="1" w:styleId="CommentTextChar">
    <w:name w:val="Comment Text Char"/>
    <w:basedOn w:val="DefaultParagraphFont"/>
    <w:link w:val="CommentText"/>
    <w:rsid w:val="0080348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03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03488"/>
    <w:rPr>
      <w:b/>
      <w:bCs/>
      <w:lang w:val="en-GB" w:eastAsia="en-US"/>
    </w:rPr>
  </w:style>
  <w:style w:type="table" w:styleId="TableGrid">
    <w:name w:val="Table Grid"/>
    <w:basedOn w:val="TableNormal"/>
    <w:rsid w:val="003E0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71D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71D3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rsid w:val="00273A6C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273A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4777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477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504777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semiHidden/>
    <w:unhideWhenUsed/>
    <w:qFormat/>
    <w:rsid w:val="00E115D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D6215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ortal.3gpp.org/desktopmodules/Specifications/SpecificationDetails.aspx?specificationId=3191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5AIRPNAIUNRU-1774131100-1295</_dlc_DocId>
    <_dlc_DocIdUrl xmlns="71c5aaf6-e6ce-465b-b873-5148d2a4c105">
      <Url>https://nokia.sharepoint.com/sites/c5g/projects/nas/_layouts/15/DocIdRedir.aspx?ID=5AIRPNAIUNRU-1774131100-1295</Url>
      <Description>5AIRPNAIUNRU-1774131100-1295</Description>
    </_dlc_DocIdUrl>
    <HideFromDelve xmlns="71c5aaf6-e6ce-465b-b873-5148d2a4c105">false</HideFromDelve>
    <_Flow_SignoffStatus xmlns="6d0092ff-228e-48cb-9ef6-dbafe0d3bde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74330-08E0-4378-A21C-AD69F93239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2.xml><?xml version="1.0" encoding="utf-8"?>
<ds:datastoreItem xmlns:ds="http://schemas.openxmlformats.org/officeDocument/2006/customXml" ds:itemID="{5220CDCA-E17B-4B3B-9A3B-31D3AD7B56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E76EA-E17B-4837-AE50-C19211554E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A183752-512B-45C5-9B29-53D319149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8843FA-60D6-49FF-871E-A3BED9B237B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2CDE3C7-FCEB-4DCB-BF55-59CC7F6DF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294</TotalTime>
  <Pages>2</Pages>
  <Words>385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2696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Load metric based on PRB occupancy</dc:title>
  <dc:subject>3GPP RAN3 #109e</dc:subject>
  <dc:creator>Benoist Sébire</dc:creator>
  <cp:keywords>&lt;keyword[, keyword, ]&gt;</cp:keywords>
  <cp:lastModifiedBy>Nokia</cp:lastModifiedBy>
  <cp:revision>20</cp:revision>
  <dcterms:created xsi:type="dcterms:W3CDTF">2020-01-17T12:20:00Z</dcterms:created>
  <dcterms:modified xsi:type="dcterms:W3CDTF">2020-08-06T16:05:00Z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18130c83-8bdc-434b-905d-9370ec9e0305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iteId">
    <vt:lpwstr>5d471751-9675-428d-917b-70f44f9630b0</vt:lpwstr>
  </property>
  <property fmtid="{D5CDD505-2E9C-101B-9397-08002B2CF9AE}" pid="6" name="MSIP_Label_b1aa2129-79ec-42c0-bfac-e5b7a0374572_Owner">
    <vt:lpwstr>guillaume.decarreau@nokia-bell-labs.com</vt:lpwstr>
  </property>
  <property fmtid="{D5CDD505-2E9C-101B-9397-08002B2CF9AE}" pid="7" name="MSIP_Label_b1aa2129-79ec-42c0-bfac-e5b7a0374572_SetDate">
    <vt:lpwstr>2019-11-08T09:51:37.8886320Z</vt:lpwstr>
  </property>
  <property fmtid="{D5CDD505-2E9C-101B-9397-08002B2CF9AE}" pid="8" name="MSIP_Label_b1aa2129-79ec-42c0-bfac-e5b7a0374572_Name">
    <vt:lpwstr>Public</vt:lpwstr>
  </property>
  <property fmtid="{D5CDD505-2E9C-101B-9397-08002B2CF9AE}" pid="9" name="MSIP_Label_b1aa2129-79ec-42c0-bfac-e5b7a0374572_Application">
    <vt:lpwstr>Microsoft Azure Information Protection</vt:lpwstr>
  </property>
  <property fmtid="{D5CDD505-2E9C-101B-9397-08002B2CF9AE}" pid="10" name="MSIP_Label_b1aa2129-79ec-42c0-bfac-e5b7a0374572_ActionId">
    <vt:lpwstr>caba1832-3507-42f7-8ffc-56eeab9b35fb</vt:lpwstr>
  </property>
  <property fmtid="{D5CDD505-2E9C-101B-9397-08002B2CF9AE}" pid="11" name="MSIP_Label_b1aa2129-79ec-42c0-bfac-e5b7a0374572_Extended_MSFT_Method">
    <vt:lpwstr>Manual</vt:lpwstr>
  </property>
  <property fmtid="{D5CDD505-2E9C-101B-9397-08002B2CF9AE}" pid="12" name="Sensitivity">
    <vt:lpwstr>Public</vt:lpwstr>
  </property>
</Properties>
</file>